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BCC8" w14:textId="2C1C2DDE" w:rsidR="00DD3C1E" w:rsidRPr="00DD3C1E" w:rsidRDefault="00DD3C1E" w:rsidP="00D518AE">
      <w:pPr>
        <w:jc w:val="center"/>
        <w:rPr>
          <w:b/>
          <w:bCs/>
          <w:sz w:val="24"/>
          <w:szCs w:val="24"/>
        </w:rPr>
      </w:pPr>
      <w:r w:rsidRPr="00DD3C1E">
        <w:rPr>
          <w:b/>
          <w:bCs/>
          <w:sz w:val="24"/>
          <w:szCs w:val="24"/>
        </w:rPr>
        <w:t>BALCÃO IFNEGÓCIOS SOCIAL – LAGUNA MUNDAÚ</w:t>
      </w:r>
      <w:r w:rsidRPr="00DD3C1E">
        <w:rPr>
          <w:b/>
          <w:bCs/>
          <w:sz w:val="24"/>
          <w:szCs w:val="24"/>
        </w:rPr>
        <w:br/>
        <w:t>Fortalecimento Institucional das OSCs de Maceió</w:t>
      </w:r>
    </w:p>
    <w:p w14:paraId="65AF179A" w14:textId="499DBA94" w:rsidR="00DD3C1E" w:rsidRPr="00DD3C1E" w:rsidRDefault="00DD3C1E" w:rsidP="00DD3C1E"/>
    <w:p w14:paraId="09294BB6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1. DESCRIÇÃO DA REALIDADE QUE SERÁ OBJETO DA PARCERIA</w:t>
      </w:r>
    </w:p>
    <w:p w14:paraId="104A33A7" w14:textId="77777777" w:rsidR="00DD3C1E" w:rsidRPr="00DD3C1E" w:rsidRDefault="00DD3C1E" w:rsidP="00DD3C1E">
      <w:r w:rsidRPr="00DD3C1E">
        <w:t>O entorno da Laguna Mundaú, em Maceió, concentra um dos maiores conjuntos de vulnerabilidades socioambientais e institucionais do estado de Alagoas. Além dos impactos históricos da pobreza urbana, da informalidade econômica e da fragilidade das políticas públicas locais, a região foi profundamente atingida pelo desastre socioambiental causado pelo afundamento do solo, que desestruturou comunidades inteiras, rompeu redes de solidariedade, comprometeu territórios de trabalho, moradia e cultura, e produziu danos coletivos que extrapolam qualquer mensuração puramente econômica.</w:t>
      </w:r>
    </w:p>
    <w:p w14:paraId="09AC396E" w14:textId="77777777" w:rsidR="00DD3C1E" w:rsidRPr="00DD3C1E" w:rsidRDefault="00DD3C1E" w:rsidP="00DD3C1E">
      <w:r w:rsidRPr="00DD3C1E">
        <w:t>Nesse contexto, as Organizações da Sociedade Civil (OSCs) e coletivos comunitários do território tornaram-se, muitas vezes, o único ponto de apoio contínuo para a população atingida. São elas que organizam redes de solidariedade, promovem ações culturais, articulam acesso a direitos, produzem memória e dão sustentação ao tecido social que resiste à fragmentação.</w:t>
      </w:r>
    </w:p>
    <w:p w14:paraId="2F23E76F" w14:textId="77777777" w:rsidR="00DD3C1E" w:rsidRPr="00DD3C1E" w:rsidRDefault="00DD3C1E" w:rsidP="00DD3C1E">
      <w:r w:rsidRPr="00DD3C1E">
        <w:t>Entretanto, a maioria dessas OSCs atua sob extrema fragilidade institucional: ausência de rotinas administrativas, dificuldade de prestar contas, desconhecimento das plataformas públicas, baixa capacidade de elaborar projetos, captar recursos e dialogar tecnicamente com o Estado e com financiadores. Muitas sequer conseguem acessar editais, emendas parlamentares ou programas públicos por não possuírem os requisitos mínimos de governança, regularidade e planejamento.</w:t>
      </w:r>
    </w:p>
    <w:p w14:paraId="0F726931" w14:textId="77777777" w:rsidR="00DD3C1E" w:rsidRPr="00DD3C1E" w:rsidRDefault="00DD3C1E" w:rsidP="00DD3C1E">
      <w:r w:rsidRPr="00DD3C1E">
        <w:t xml:space="preserve">O Projeto </w:t>
      </w:r>
      <w:r w:rsidRPr="00DD3C1E">
        <w:rPr>
          <w:b/>
          <w:bCs/>
        </w:rPr>
        <w:t xml:space="preserve">Balcão </w:t>
      </w:r>
      <w:proofErr w:type="spellStart"/>
      <w:r w:rsidRPr="00DD3C1E">
        <w:rPr>
          <w:b/>
          <w:bCs/>
        </w:rPr>
        <w:t>IFnegócios</w:t>
      </w:r>
      <w:proofErr w:type="spellEnd"/>
      <w:r w:rsidRPr="00DD3C1E">
        <w:rPr>
          <w:b/>
          <w:bCs/>
        </w:rPr>
        <w:t xml:space="preserve"> Social – Laguna Mundaú</w:t>
      </w:r>
      <w:r w:rsidRPr="00DD3C1E">
        <w:t xml:space="preserve"> nasce justamente para enfrentar esse gargalo estrutural: criar uma </w:t>
      </w:r>
      <w:r w:rsidRPr="00DD3C1E">
        <w:rPr>
          <w:b/>
          <w:bCs/>
        </w:rPr>
        <w:t>porta de entrada permanente, acessível e territorializada</w:t>
      </w:r>
      <w:r w:rsidRPr="00DD3C1E">
        <w:t xml:space="preserve"> para que as OSCs do entorno da Laguna Mundaú possam receber apoio técnico continuado, fortalecer sua institucionalidade e ampliar sua capacidade de atuação e sustentabilidade.</w:t>
      </w:r>
    </w:p>
    <w:p w14:paraId="333A2470" w14:textId="77777777" w:rsidR="00DD3C1E" w:rsidRPr="00DD3C1E" w:rsidRDefault="00DD3C1E" w:rsidP="00DD3C1E">
      <w:r w:rsidRPr="00DD3C1E">
        <w:t xml:space="preserve">Ao ser sediado no IFAL – Campus Maceió e integrado à política de extensão da instituição, o Balcão transforma o conhecimento técnico da academia em um serviço público de alto impacto social, ancorado no território e orientado pelas demandas reais das organizações comunitárias </w:t>
      </w:r>
    </w:p>
    <w:p w14:paraId="617324F3" w14:textId="430BA5E5" w:rsidR="00DD3C1E" w:rsidRPr="00DD3C1E" w:rsidRDefault="00DD3C1E" w:rsidP="00DD3C1E">
      <w:pPr>
        <w:rPr>
          <w:lang w:val="en-US"/>
        </w:rPr>
      </w:pPr>
    </w:p>
    <w:p w14:paraId="195D5D5D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2. DESCRIÇÃO DAS METAS E DAS ATIVIDADES</w:t>
      </w:r>
    </w:p>
    <w:p w14:paraId="2DD37F85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META 1 – Implantar um sistema permanente de diagnóstico institucional das OSCs do território</w:t>
      </w:r>
    </w:p>
    <w:p w14:paraId="25CFD6C7" w14:textId="77777777" w:rsidR="00DD3C1E" w:rsidRPr="00DD3C1E" w:rsidRDefault="00DD3C1E" w:rsidP="00DD3C1E">
      <w:pPr>
        <w:rPr>
          <w:lang w:val="en-US"/>
        </w:rPr>
      </w:pPr>
      <w:r w:rsidRPr="00DD3C1E">
        <w:rPr>
          <w:b/>
          <w:bCs/>
          <w:lang w:val="en-US"/>
        </w:rPr>
        <w:t>Atividades vinculadas:</w:t>
      </w:r>
    </w:p>
    <w:p w14:paraId="316F5262" w14:textId="77777777" w:rsidR="00DD3C1E" w:rsidRPr="00DD3C1E" w:rsidRDefault="00DD3C1E" w:rsidP="00DD3C1E">
      <w:pPr>
        <w:numPr>
          <w:ilvl w:val="0"/>
          <w:numId w:val="29"/>
        </w:numPr>
      </w:pPr>
      <w:r w:rsidRPr="00DD3C1E">
        <w:lastRenderedPageBreak/>
        <w:t>Construção e aplicação de instrumento de diagnóstico institucional das OSCs (governança, gestão, finanças, projetos, regularidade);</w:t>
      </w:r>
    </w:p>
    <w:p w14:paraId="16B83506" w14:textId="77777777" w:rsidR="00DD3C1E" w:rsidRPr="00DD3C1E" w:rsidRDefault="00DD3C1E" w:rsidP="00DD3C1E">
      <w:pPr>
        <w:numPr>
          <w:ilvl w:val="0"/>
          <w:numId w:val="29"/>
        </w:numPr>
      </w:pPr>
      <w:r w:rsidRPr="00DD3C1E">
        <w:t>Entrevistas presenciais e remotas com lideranças;</w:t>
      </w:r>
    </w:p>
    <w:p w14:paraId="33D6DC3B" w14:textId="77777777" w:rsidR="00DD3C1E" w:rsidRPr="00DD3C1E" w:rsidRDefault="00DD3C1E" w:rsidP="00DD3C1E">
      <w:pPr>
        <w:numPr>
          <w:ilvl w:val="0"/>
          <w:numId w:val="29"/>
        </w:numPr>
      </w:pPr>
      <w:r w:rsidRPr="00DD3C1E">
        <w:t>Análise documental (estatuto, atas, certidões, projetos existentes);</w:t>
      </w:r>
    </w:p>
    <w:p w14:paraId="54CB8DFC" w14:textId="77777777" w:rsidR="00DD3C1E" w:rsidRPr="00DD3C1E" w:rsidRDefault="00DD3C1E" w:rsidP="00DD3C1E">
      <w:pPr>
        <w:numPr>
          <w:ilvl w:val="0"/>
          <w:numId w:val="29"/>
        </w:numPr>
      </w:pPr>
      <w:r w:rsidRPr="00DD3C1E">
        <w:t>Produção de matriz de vulnerabilidade institucional para priorização de atendimentos.</w:t>
      </w:r>
    </w:p>
    <w:p w14:paraId="11ED5525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 xml:space="preserve">META 2 – Oferecer apoio técnico continuado por meio do Balcão </w:t>
      </w:r>
      <w:proofErr w:type="spellStart"/>
      <w:r w:rsidRPr="00DD3C1E">
        <w:rPr>
          <w:b/>
          <w:bCs/>
        </w:rPr>
        <w:t>IFnegócios</w:t>
      </w:r>
      <w:proofErr w:type="spellEnd"/>
      <w:r w:rsidRPr="00DD3C1E">
        <w:rPr>
          <w:b/>
          <w:bCs/>
        </w:rPr>
        <w:t xml:space="preserve"> Social</w:t>
      </w:r>
    </w:p>
    <w:p w14:paraId="58E8149A" w14:textId="77777777" w:rsidR="00DD3C1E" w:rsidRPr="00DD3C1E" w:rsidRDefault="00DD3C1E" w:rsidP="00DD3C1E">
      <w:pPr>
        <w:rPr>
          <w:lang w:val="en-US"/>
        </w:rPr>
      </w:pPr>
      <w:r w:rsidRPr="00DD3C1E">
        <w:rPr>
          <w:b/>
          <w:bCs/>
          <w:lang w:val="en-US"/>
        </w:rPr>
        <w:t>Atividades vinculadas:</w:t>
      </w:r>
    </w:p>
    <w:p w14:paraId="5A6B3F92" w14:textId="77777777" w:rsidR="00DD3C1E" w:rsidRPr="00DD3C1E" w:rsidRDefault="00DD3C1E" w:rsidP="00DD3C1E">
      <w:pPr>
        <w:numPr>
          <w:ilvl w:val="0"/>
          <w:numId w:val="30"/>
        </w:numPr>
      </w:pPr>
      <w:r w:rsidRPr="00DD3C1E">
        <w:t>Plantões quinzenais presenciais no IFAL com bolsistas e supervisão docente;</w:t>
      </w:r>
    </w:p>
    <w:p w14:paraId="5F72A5E5" w14:textId="77777777" w:rsidR="00DD3C1E" w:rsidRPr="00DD3C1E" w:rsidRDefault="00DD3C1E" w:rsidP="00DD3C1E">
      <w:pPr>
        <w:numPr>
          <w:ilvl w:val="0"/>
          <w:numId w:val="30"/>
        </w:numPr>
      </w:pPr>
      <w:r w:rsidRPr="00DD3C1E">
        <w:t>Atendimentos técnicos individualizados (gestão, projetos, contabilidade básica, prestação de contas);</w:t>
      </w:r>
    </w:p>
    <w:p w14:paraId="4C532492" w14:textId="77777777" w:rsidR="00DD3C1E" w:rsidRPr="00DD3C1E" w:rsidRDefault="00DD3C1E" w:rsidP="00DD3C1E">
      <w:pPr>
        <w:numPr>
          <w:ilvl w:val="0"/>
          <w:numId w:val="30"/>
        </w:numPr>
      </w:pPr>
      <w:r w:rsidRPr="00DD3C1E">
        <w:t>Orientação para cadastro e operação em plataformas públicas (</w:t>
      </w:r>
      <w:proofErr w:type="spellStart"/>
      <w:r w:rsidRPr="00DD3C1E">
        <w:t>TransfereGov</w:t>
      </w:r>
      <w:proofErr w:type="spellEnd"/>
      <w:r w:rsidRPr="00DD3C1E">
        <w:t>, Receita Federal, portais de editais);</w:t>
      </w:r>
    </w:p>
    <w:p w14:paraId="2CAEE1D6" w14:textId="77777777" w:rsidR="00DD3C1E" w:rsidRPr="00DD3C1E" w:rsidRDefault="00DD3C1E" w:rsidP="00DD3C1E">
      <w:pPr>
        <w:numPr>
          <w:ilvl w:val="0"/>
          <w:numId w:val="30"/>
        </w:numPr>
      </w:pPr>
      <w:r w:rsidRPr="00DD3C1E">
        <w:t>Mentorias técnicas com parceiros institucionais (CRC-AL, OAB, universidades).</w:t>
      </w:r>
    </w:p>
    <w:p w14:paraId="3446BEDF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 xml:space="preserve">META 3 – Capacitar as OSCs por meio de ciclos de formação </w:t>
      </w:r>
      <w:proofErr w:type="spellStart"/>
      <w:r w:rsidRPr="00DD3C1E">
        <w:rPr>
          <w:b/>
          <w:bCs/>
        </w:rPr>
        <w:t>territorializados</w:t>
      </w:r>
      <w:proofErr w:type="spellEnd"/>
    </w:p>
    <w:p w14:paraId="1915514C" w14:textId="77777777" w:rsidR="00DD3C1E" w:rsidRPr="00DD3C1E" w:rsidRDefault="00DD3C1E" w:rsidP="00DD3C1E">
      <w:r w:rsidRPr="00DD3C1E">
        <w:rPr>
          <w:b/>
          <w:bCs/>
        </w:rPr>
        <w:t>Atividades vinculadas:</w:t>
      </w:r>
      <w:r w:rsidRPr="00DD3C1E">
        <w:br/>
        <w:t xml:space="preserve">Realização das oficinas estruturadas já previstas no modelo do Balcão </w:t>
      </w:r>
    </w:p>
    <w:p w14:paraId="7B62F34B" w14:textId="77777777" w:rsidR="00DD3C1E" w:rsidRPr="00DD3C1E" w:rsidRDefault="00DD3C1E" w:rsidP="00DD3C1E">
      <w:pPr>
        <w:numPr>
          <w:ilvl w:val="0"/>
          <w:numId w:val="31"/>
        </w:numPr>
        <w:rPr>
          <w:lang w:val="en-US"/>
        </w:rPr>
      </w:pPr>
      <w:r w:rsidRPr="00DD3C1E">
        <w:rPr>
          <w:lang w:val="en-US"/>
        </w:rPr>
        <w:t>Legislação aplicável às OSCs</w:t>
      </w:r>
    </w:p>
    <w:p w14:paraId="1E1C7A69" w14:textId="77777777" w:rsidR="00DD3C1E" w:rsidRPr="00DD3C1E" w:rsidRDefault="00DD3C1E" w:rsidP="00DD3C1E">
      <w:pPr>
        <w:numPr>
          <w:ilvl w:val="0"/>
          <w:numId w:val="31"/>
        </w:numPr>
      </w:pPr>
      <w:r w:rsidRPr="00DD3C1E">
        <w:t>Elaboração de projetos e captação de recursos</w:t>
      </w:r>
    </w:p>
    <w:p w14:paraId="4590D2DB" w14:textId="77777777" w:rsidR="00DD3C1E" w:rsidRPr="00DD3C1E" w:rsidRDefault="00DD3C1E" w:rsidP="00DD3C1E">
      <w:pPr>
        <w:numPr>
          <w:ilvl w:val="0"/>
          <w:numId w:val="31"/>
        </w:numPr>
        <w:rPr>
          <w:lang w:val="en-US"/>
        </w:rPr>
      </w:pPr>
      <w:r w:rsidRPr="00DD3C1E">
        <w:rPr>
          <w:lang w:val="en-US"/>
        </w:rPr>
        <w:t>Prestação de contas e transparência</w:t>
      </w:r>
    </w:p>
    <w:p w14:paraId="5FF5E4B0" w14:textId="77777777" w:rsidR="00DD3C1E" w:rsidRPr="00DD3C1E" w:rsidRDefault="00DD3C1E" w:rsidP="00DD3C1E">
      <w:pPr>
        <w:numPr>
          <w:ilvl w:val="0"/>
          <w:numId w:val="31"/>
        </w:numPr>
        <w:rPr>
          <w:lang w:val="en-US"/>
        </w:rPr>
      </w:pPr>
      <w:r w:rsidRPr="00DD3C1E">
        <w:rPr>
          <w:lang w:val="en-US"/>
        </w:rPr>
        <w:t>Planejamento estratégico institucional</w:t>
      </w:r>
    </w:p>
    <w:p w14:paraId="77531890" w14:textId="77777777" w:rsidR="00DD3C1E" w:rsidRPr="00DD3C1E" w:rsidRDefault="00DD3C1E" w:rsidP="00DD3C1E">
      <w:pPr>
        <w:numPr>
          <w:ilvl w:val="0"/>
          <w:numId w:val="31"/>
        </w:numPr>
      </w:pPr>
      <w:r w:rsidRPr="00DD3C1E">
        <w:t>Gestão financeira, fiscal e contabilidade básica</w:t>
      </w:r>
    </w:p>
    <w:p w14:paraId="49E24A57" w14:textId="77777777" w:rsidR="00DD3C1E" w:rsidRPr="00DD3C1E" w:rsidRDefault="00DD3C1E" w:rsidP="00DD3C1E">
      <w:pPr>
        <w:numPr>
          <w:ilvl w:val="0"/>
          <w:numId w:val="31"/>
        </w:numPr>
        <w:rPr>
          <w:lang w:val="en-US"/>
        </w:rPr>
      </w:pPr>
      <w:r w:rsidRPr="00DD3C1E">
        <w:rPr>
          <w:lang w:val="en-US"/>
        </w:rPr>
        <w:t xml:space="preserve">Acesso e </w:t>
      </w:r>
      <w:proofErr w:type="spellStart"/>
      <w:r w:rsidRPr="00DD3C1E">
        <w:rPr>
          <w:lang w:val="en-US"/>
        </w:rPr>
        <w:t>operação</w:t>
      </w:r>
      <w:proofErr w:type="spellEnd"/>
      <w:r w:rsidRPr="00DD3C1E">
        <w:rPr>
          <w:lang w:val="en-US"/>
        </w:rPr>
        <w:t xml:space="preserve"> do </w:t>
      </w:r>
      <w:proofErr w:type="spellStart"/>
      <w:r w:rsidRPr="00DD3C1E">
        <w:rPr>
          <w:lang w:val="en-US"/>
        </w:rPr>
        <w:t>TransfereGov</w:t>
      </w:r>
      <w:proofErr w:type="spellEnd"/>
    </w:p>
    <w:p w14:paraId="094AD987" w14:textId="77777777" w:rsidR="00DD3C1E" w:rsidRPr="00DD3C1E" w:rsidRDefault="00DD3C1E" w:rsidP="00DD3C1E">
      <w:pPr>
        <w:numPr>
          <w:ilvl w:val="0"/>
          <w:numId w:val="31"/>
        </w:numPr>
        <w:rPr>
          <w:lang w:val="en-US"/>
        </w:rPr>
      </w:pPr>
      <w:r w:rsidRPr="00DD3C1E">
        <w:rPr>
          <w:lang w:val="en-US"/>
        </w:rPr>
        <w:t xml:space="preserve">Governança, </w:t>
      </w:r>
      <w:proofErr w:type="spellStart"/>
      <w:r w:rsidRPr="00DD3C1E">
        <w:rPr>
          <w:lang w:val="en-US"/>
        </w:rPr>
        <w:t>certificações</w:t>
      </w:r>
      <w:proofErr w:type="spellEnd"/>
      <w:r w:rsidRPr="00DD3C1E">
        <w:rPr>
          <w:lang w:val="en-US"/>
        </w:rPr>
        <w:t xml:space="preserve"> e </w:t>
      </w:r>
      <w:proofErr w:type="spellStart"/>
      <w:r w:rsidRPr="00DD3C1E">
        <w:rPr>
          <w:lang w:val="en-US"/>
        </w:rPr>
        <w:t>credenciamentos</w:t>
      </w:r>
      <w:proofErr w:type="spellEnd"/>
    </w:p>
    <w:p w14:paraId="51139814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META 4 – Produzir uma base pública de materiais e ferramentas de fortalecimento institucional</w:t>
      </w:r>
    </w:p>
    <w:p w14:paraId="77BE1D2A" w14:textId="77777777" w:rsidR="00DD3C1E" w:rsidRPr="00DD3C1E" w:rsidRDefault="00DD3C1E" w:rsidP="00DD3C1E">
      <w:pPr>
        <w:rPr>
          <w:lang w:val="en-US"/>
        </w:rPr>
      </w:pPr>
      <w:r w:rsidRPr="00DD3C1E">
        <w:rPr>
          <w:b/>
          <w:bCs/>
          <w:lang w:val="en-US"/>
        </w:rPr>
        <w:t>Atividades vinculadas:</w:t>
      </w:r>
    </w:p>
    <w:p w14:paraId="5371D5A8" w14:textId="77777777" w:rsidR="00DD3C1E" w:rsidRPr="00DD3C1E" w:rsidRDefault="00DD3C1E" w:rsidP="00DD3C1E">
      <w:pPr>
        <w:numPr>
          <w:ilvl w:val="0"/>
          <w:numId w:val="32"/>
        </w:numPr>
      </w:pPr>
      <w:r w:rsidRPr="00DD3C1E">
        <w:t>Elaboração de cartilhas digitais acessíveis;</w:t>
      </w:r>
    </w:p>
    <w:p w14:paraId="511E828B" w14:textId="77777777" w:rsidR="00DD3C1E" w:rsidRPr="00DD3C1E" w:rsidRDefault="00DD3C1E" w:rsidP="00DD3C1E">
      <w:pPr>
        <w:numPr>
          <w:ilvl w:val="0"/>
          <w:numId w:val="32"/>
        </w:numPr>
      </w:pPr>
      <w:r w:rsidRPr="00DD3C1E">
        <w:t>Criação de modelos e minutas de documentos;</w:t>
      </w:r>
    </w:p>
    <w:p w14:paraId="1A82F9A5" w14:textId="77777777" w:rsidR="00DD3C1E" w:rsidRPr="00DD3C1E" w:rsidRDefault="00DD3C1E" w:rsidP="00DD3C1E">
      <w:pPr>
        <w:numPr>
          <w:ilvl w:val="0"/>
          <w:numId w:val="32"/>
        </w:numPr>
      </w:pPr>
      <w:r w:rsidRPr="00DD3C1E">
        <w:t>Produção de pelo menos 15 vídeos tutoriais;</w:t>
      </w:r>
    </w:p>
    <w:p w14:paraId="2DAFFF0B" w14:textId="77777777" w:rsidR="00DD3C1E" w:rsidRPr="00DD3C1E" w:rsidRDefault="00DD3C1E" w:rsidP="00DD3C1E">
      <w:pPr>
        <w:numPr>
          <w:ilvl w:val="0"/>
          <w:numId w:val="32"/>
        </w:numPr>
      </w:pPr>
      <w:r w:rsidRPr="00DD3C1E">
        <w:lastRenderedPageBreak/>
        <w:t>Consolidação de um Manual Institucional de Apoio às OSCs.</w:t>
      </w:r>
    </w:p>
    <w:p w14:paraId="28953718" w14:textId="77777777" w:rsidR="008B1576" w:rsidRDefault="008B1576" w:rsidP="00DD3C1E">
      <w:pPr>
        <w:rPr>
          <w:b/>
          <w:bCs/>
        </w:rPr>
      </w:pPr>
    </w:p>
    <w:p w14:paraId="20FD541F" w14:textId="19353093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3. PREVISÃO DE RECEITAS E DESPESAS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5"/>
        <w:gridCol w:w="4931"/>
        <w:gridCol w:w="1128"/>
      </w:tblGrid>
      <w:tr w:rsidR="00DD3C1E" w:rsidRPr="00DD3C1E" w14:paraId="1884CFB3" w14:textId="77777777" w:rsidTr="008B157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90ED26" w14:textId="77777777" w:rsidR="00DD3C1E" w:rsidRPr="00DD3C1E" w:rsidRDefault="00DD3C1E" w:rsidP="00D518AE">
            <w:pPr>
              <w:jc w:val="center"/>
              <w:rPr>
                <w:b/>
                <w:bCs/>
                <w:lang w:val="en-US"/>
              </w:rPr>
            </w:pPr>
            <w:r w:rsidRPr="00DD3C1E">
              <w:rPr>
                <w:b/>
                <w:bCs/>
                <w:lang w:val="en-US"/>
              </w:rPr>
              <w:t>Categoria</w:t>
            </w:r>
          </w:p>
        </w:tc>
        <w:tc>
          <w:tcPr>
            <w:tcW w:w="4901" w:type="dxa"/>
            <w:vAlign w:val="center"/>
            <w:hideMark/>
          </w:tcPr>
          <w:p w14:paraId="1FE69403" w14:textId="77777777" w:rsidR="00DD3C1E" w:rsidRPr="00DD3C1E" w:rsidRDefault="00DD3C1E" w:rsidP="00D518AE">
            <w:pPr>
              <w:jc w:val="center"/>
              <w:rPr>
                <w:b/>
                <w:bCs/>
                <w:lang w:val="en-US"/>
              </w:rPr>
            </w:pPr>
            <w:r w:rsidRPr="00DD3C1E">
              <w:rPr>
                <w:b/>
                <w:bCs/>
                <w:lang w:val="en-US"/>
              </w:rPr>
              <w:t>Descrição</w:t>
            </w:r>
          </w:p>
        </w:tc>
        <w:tc>
          <w:tcPr>
            <w:tcW w:w="1083" w:type="dxa"/>
            <w:vAlign w:val="center"/>
            <w:hideMark/>
          </w:tcPr>
          <w:p w14:paraId="6BC8FC52" w14:textId="77777777" w:rsidR="00DD3C1E" w:rsidRPr="00DD3C1E" w:rsidRDefault="00DD3C1E" w:rsidP="00D518AE">
            <w:pPr>
              <w:jc w:val="center"/>
              <w:rPr>
                <w:b/>
                <w:bCs/>
                <w:lang w:val="en-US"/>
              </w:rPr>
            </w:pPr>
            <w:r w:rsidRPr="00DD3C1E">
              <w:rPr>
                <w:b/>
                <w:bCs/>
                <w:lang w:val="en-US"/>
              </w:rPr>
              <w:t>Valor estimado</w:t>
            </w:r>
          </w:p>
        </w:tc>
      </w:tr>
      <w:tr w:rsidR="00DD3C1E" w:rsidRPr="00DD3C1E" w14:paraId="7C25DA45" w14:textId="77777777" w:rsidTr="008B1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20CDE2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Coordenação e docentes</w:t>
            </w:r>
          </w:p>
        </w:tc>
        <w:tc>
          <w:tcPr>
            <w:tcW w:w="4901" w:type="dxa"/>
            <w:vAlign w:val="center"/>
            <w:hideMark/>
          </w:tcPr>
          <w:p w14:paraId="1787385C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Supervisão técnica e pedagógica</w:t>
            </w:r>
          </w:p>
        </w:tc>
        <w:tc>
          <w:tcPr>
            <w:tcW w:w="1083" w:type="dxa"/>
            <w:vAlign w:val="center"/>
            <w:hideMark/>
          </w:tcPr>
          <w:p w14:paraId="3989F26C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—</w:t>
            </w:r>
          </w:p>
        </w:tc>
      </w:tr>
      <w:tr w:rsidR="00DD3C1E" w:rsidRPr="00DD3C1E" w14:paraId="504C591D" w14:textId="77777777" w:rsidTr="008B1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337C61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Bolsistas</w:t>
            </w:r>
          </w:p>
        </w:tc>
        <w:tc>
          <w:tcPr>
            <w:tcW w:w="4901" w:type="dxa"/>
            <w:vAlign w:val="center"/>
            <w:hideMark/>
          </w:tcPr>
          <w:p w14:paraId="7937840E" w14:textId="77777777" w:rsidR="00DD3C1E" w:rsidRPr="00DD3C1E" w:rsidRDefault="00DD3C1E" w:rsidP="00DD3C1E">
            <w:r w:rsidRPr="00DD3C1E">
              <w:t>Atendimento, diagnósticos e produção de materiais</w:t>
            </w:r>
          </w:p>
        </w:tc>
        <w:tc>
          <w:tcPr>
            <w:tcW w:w="1083" w:type="dxa"/>
            <w:vAlign w:val="center"/>
            <w:hideMark/>
          </w:tcPr>
          <w:p w14:paraId="61D1FFB9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—</w:t>
            </w:r>
          </w:p>
        </w:tc>
      </w:tr>
      <w:tr w:rsidR="00DD3C1E" w:rsidRPr="00DD3C1E" w14:paraId="5DD4FB2F" w14:textId="77777777" w:rsidTr="008B1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037F82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Oficinas e formações</w:t>
            </w:r>
          </w:p>
        </w:tc>
        <w:tc>
          <w:tcPr>
            <w:tcW w:w="4901" w:type="dxa"/>
            <w:vAlign w:val="center"/>
            <w:hideMark/>
          </w:tcPr>
          <w:p w14:paraId="4D3F6D20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Materiais, logística, alimentação</w:t>
            </w:r>
          </w:p>
        </w:tc>
        <w:tc>
          <w:tcPr>
            <w:tcW w:w="1083" w:type="dxa"/>
            <w:vAlign w:val="center"/>
            <w:hideMark/>
          </w:tcPr>
          <w:p w14:paraId="154A48BB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—</w:t>
            </w:r>
          </w:p>
        </w:tc>
      </w:tr>
      <w:tr w:rsidR="00DD3C1E" w:rsidRPr="00DD3C1E" w14:paraId="0392FB5C" w14:textId="77777777" w:rsidTr="008B1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B51E54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Plataforma e comunicação</w:t>
            </w:r>
          </w:p>
        </w:tc>
        <w:tc>
          <w:tcPr>
            <w:tcW w:w="4901" w:type="dxa"/>
            <w:vAlign w:val="center"/>
            <w:hideMark/>
          </w:tcPr>
          <w:p w14:paraId="155957B5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Site, vídeos, cartilhas</w:t>
            </w:r>
          </w:p>
        </w:tc>
        <w:tc>
          <w:tcPr>
            <w:tcW w:w="1083" w:type="dxa"/>
            <w:vAlign w:val="center"/>
            <w:hideMark/>
          </w:tcPr>
          <w:p w14:paraId="1F867068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—</w:t>
            </w:r>
          </w:p>
        </w:tc>
      </w:tr>
      <w:tr w:rsidR="00DD3C1E" w:rsidRPr="00DD3C1E" w14:paraId="6072E9E9" w14:textId="77777777" w:rsidTr="008B157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1A707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Infraestrutura</w:t>
            </w:r>
          </w:p>
        </w:tc>
        <w:tc>
          <w:tcPr>
            <w:tcW w:w="4901" w:type="dxa"/>
            <w:vAlign w:val="center"/>
            <w:hideMark/>
          </w:tcPr>
          <w:p w14:paraId="783190A1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Espaço, equipamentos, apoio IFAL</w:t>
            </w:r>
          </w:p>
        </w:tc>
        <w:tc>
          <w:tcPr>
            <w:tcW w:w="1083" w:type="dxa"/>
            <w:vAlign w:val="center"/>
            <w:hideMark/>
          </w:tcPr>
          <w:p w14:paraId="20866F92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—</w:t>
            </w:r>
          </w:p>
        </w:tc>
      </w:tr>
    </w:tbl>
    <w:p w14:paraId="3384807D" w14:textId="77777777" w:rsidR="00DD3C1E" w:rsidRPr="00DD3C1E" w:rsidRDefault="00DD3C1E" w:rsidP="00DD3C1E">
      <w:pPr>
        <w:rPr>
          <w:sz w:val="18"/>
          <w:szCs w:val="18"/>
        </w:rPr>
      </w:pPr>
      <w:r w:rsidRPr="00DD3C1E">
        <w:rPr>
          <w:i/>
          <w:iCs/>
          <w:sz w:val="18"/>
          <w:szCs w:val="18"/>
        </w:rPr>
        <w:t>(Os valores podem ser detalhados conforme edital ou fonte financiadora, mantendo a lógica de custeio do modelo do IFAL.)</w:t>
      </w:r>
    </w:p>
    <w:p w14:paraId="7D420403" w14:textId="162E70A7" w:rsidR="00DD3C1E" w:rsidRPr="00DD3C1E" w:rsidRDefault="00DD3C1E" w:rsidP="00DD3C1E"/>
    <w:p w14:paraId="68A0E7AA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4. FORMA DE EXECUÇÃO</w:t>
      </w:r>
    </w:p>
    <w:p w14:paraId="7FE45945" w14:textId="77777777" w:rsidR="00DD3C1E" w:rsidRPr="00DD3C1E" w:rsidRDefault="00DD3C1E" w:rsidP="00DD3C1E">
      <w:r w:rsidRPr="00DD3C1E">
        <w:t xml:space="preserve">O Balcão funcionará de forma </w:t>
      </w:r>
      <w:r w:rsidRPr="00DD3C1E">
        <w:rPr>
          <w:b/>
          <w:bCs/>
        </w:rPr>
        <w:t>híbrida e permanente</w:t>
      </w:r>
      <w:r w:rsidRPr="00DD3C1E">
        <w:t>, com:</w:t>
      </w:r>
    </w:p>
    <w:p w14:paraId="76419736" w14:textId="77777777" w:rsidR="00DD3C1E" w:rsidRPr="00DD3C1E" w:rsidRDefault="00DD3C1E" w:rsidP="00DD3C1E">
      <w:pPr>
        <w:numPr>
          <w:ilvl w:val="0"/>
          <w:numId w:val="33"/>
        </w:numPr>
      </w:pPr>
      <w:r w:rsidRPr="00DD3C1E">
        <w:t>Atendimento presencial no IFAL (plantões quinzenais);</w:t>
      </w:r>
    </w:p>
    <w:p w14:paraId="4D52E93A" w14:textId="77777777" w:rsidR="00DD3C1E" w:rsidRPr="00DD3C1E" w:rsidRDefault="00DD3C1E" w:rsidP="00DD3C1E">
      <w:pPr>
        <w:numPr>
          <w:ilvl w:val="0"/>
          <w:numId w:val="33"/>
        </w:numPr>
      </w:pPr>
      <w:r w:rsidRPr="00DD3C1E">
        <w:t>Plataforma digital integrada ao IFAL e à RBCIP, com cadastro, materiais e agenda;</w:t>
      </w:r>
    </w:p>
    <w:p w14:paraId="00CA4498" w14:textId="77777777" w:rsidR="00DD3C1E" w:rsidRPr="00DD3C1E" w:rsidRDefault="00DD3C1E" w:rsidP="00DD3C1E">
      <w:pPr>
        <w:numPr>
          <w:ilvl w:val="0"/>
          <w:numId w:val="33"/>
        </w:numPr>
      </w:pPr>
      <w:r w:rsidRPr="00DD3C1E">
        <w:t>Atuação articulada com redes locais, universidades e parceiros técnicos;</w:t>
      </w:r>
    </w:p>
    <w:p w14:paraId="6AB62B9F" w14:textId="0EA462CE" w:rsidR="00DD3C1E" w:rsidRDefault="00DD3C1E" w:rsidP="00DD3C1E">
      <w:pPr>
        <w:numPr>
          <w:ilvl w:val="0"/>
          <w:numId w:val="33"/>
        </w:numPr>
      </w:pPr>
      <w:r w:rsidRPr="00DD3C1E">
        <w:t>Priorização das OSCs mais vulneráveis segundo diagnóstico inicial</w:t>
      </w:r>
    </w:p>
    <w:p w14:paraId="6D4FC0B6" w14:textId="77777777" w:rsidR="008B1576" w:rsidRDefault="008B1576" w:rsidP="00DD3C1E">
      <w:pPr>
        <w:rPr>
          <w:b/>
          <w:bCs/>
          <w:lang w:val="en-US"/>
        </w:rPr>
      </w:pPr>
    </w:p>
    <w:p w14:paraId="436CD729" w14:textId="7F6F5654" w:rsidR="00DD3C1E" w:rsidRPr="00DD3C1E" w:rsidRDefault="00DD3C1E" w:rsidP="00DD3C1E">
      <w:pPr>
        <w:rPr>
          <w:b/>
          <w:bCs/>
          <w:lang w:val="en-US"/>
        </w:rPr>
      </w:pPr>
      <w:r w:rsidRPr="00DD3C1E">
        <w:rPr>
          <w:b/>
          <w:bCs/>
          <w:lang w:val="en-US"/>
        </w:rPr>
        <w:t>5. PARÂMETROS DE AFERIÇÃO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3057"/>
        <w:gridCol w:w="2132"/>
      </w:tblGrid>
      <w:tr w:rsidR="00DD3C1E" w:rsidRPr="00DD3C1E" w14:paraId="346C5C4B" w14:textId="77777777" w:rsidTr="008B1576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871FA7" w14:textId="77777777" w:rsidR="00DD3C1E" w:rsidRPr="00DD3C1E" w:rsidRDefault="00DD3C1E" w:rsidP="00D518AE">
            <w:pPr>
              <w:jc w:val="center"/>
              <w:rPr>
                <w:b/>
                <w:bCs/>
                <w:lang w:val="en-US"/>
              </w:rPr>
            </w:pPr>
            <w:r w:rsidRPr="00DD3C1E">
              <w:rPr>
                <w:b/>
                <w:bCs/>
                <w:lang w:val="en-US"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77D628C0" w14:textId="77777777" w:rsidR="00DD3C1E" w:rsidRPr="00DD3C1E" w:rsidRDefault="00DD3C1E" w:rsidP="00D518AE">
            <w:pPr>
              <w:jc w:val="center"/>
              <w:rPr>
                <w:b/>
                <w:bCs/>
                <w:lang w:val="en-US"/>
              </w:rPr>
            </w:pPr>
            <w:r w:rsidRPr="00DD3C1E">
              <w:rPr>
                <w:b/>
                <w:bCs/>
                <w:lang w:val="en-US"/>
              </w:rPr>
              <w:t>Indicador</w:t>
            </w:r>
          </w:p>
        </w:tc>
        <w:tc>
          <w:tcPr>
            <w:tcW w:w="0" w:type="auto"/>
            <w:vAlign w:val="center"/>
            <w:hideMark/>
          </w:tcPr>
          <w:p w14:paraId="6DE63AD8" w14:textId="77777777" w:rsidR="00DD3C1E" w:rsidRPr="00DD3C1E" w:rsidRDefault="00DD3C1E" w:rsidP="00D518AE">
            <w:pPr>
              <w:jc w:val="center"/>
              <w:rPr>
                <w:b/>
                <w:bCs/>
                <w:lang w:val="en-US"/>
              </w:rPr>
            </w:pPr>
            <w:r w:rsidRPr="00DD3C1E">
              <w:rPr>
                <w:b/>
                <w:bCs/>
                <w:lang w:val="en-US"/>
              </w:rPr>
              <w:t>Verificação</w:t>
            </w:r>
          </w:p>
        </w:tc>
      </w:tr>
      <w:tr w:rsidR="008B1576" w:rsidRPr="00DD3C1E" w14:paraId="10372A33" w14:textId="77777777" w:rsidTr="008B1576">
        <w:trPr>
          <w:tblHeader/>
          <w:tblCellSpacing w:w="15" w:type="dxa"/>
          <w:jc w:val="center"/>
        </w:trPr>
        <w:tc>
          <w:tcPr>
            <w:tcW w:w="0" w:type="auto"/>
            <w:vAlign w:val="center"/>
          </w:tcPr>
          <w:p w14:paraId="2AEE176D" w14:textId="77777777" w:rsidR="008B1576" w:rsidRPr="00DD3C1E" w:rsidRDefault="008B1576" w:rsidP="00D518A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0B057E87" w14:textId="77777777" w:rsidR="008B1576" w:rsidRPr="00DD3C1E" w:rsidRDefault="008B1576" w:rsidP="00D518AE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0" w:type="auto"/>
            <w:vAlign w:val="center"/>
          </w:tcPr>
          <w:p w14:paraId="6CD3B0EB" w14:textId="77777777" w:rsidR="008B1576" w:rsidRPr="00DD3C1E" w:rsidRDefault="008B1576" w:rsidP="00D518AE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DD3C1E" w:rsidRPr="00DD3C1E" w14:paraId="1218FAF5" w14:textId="77777777" w:rsidTr="008B157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C1D6B69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Diagnóstico</w:t>
            </w:r>
          </w:p>
        </w:tc>
        <w:tc>
          <w:tcPr>
            <w:tcW w:w="0" w:type="auto"/>
            <w:vAlign w:val="center"/>
            <w:hideMark/>
          </w:tcPr>
          <w:p w14:paraId="4FAE5D88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Nº de OSCs mapeadas</w:t>
            </w:r>
          </w:p>
        </w:tc>
        <w:tc>
          <w:tcPr>
            <w:tcW w:w="0" w:type="auto"/>
            <w:vAlign w:val="center"/>
            <w:hideMark/>
          </w:tcPr>
          <w:p w14:paraId="6F4701B2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Relatórios e matrizes</w:t>
            </w:r>
          </w:p>
        </w:tc>
      </w:tr>
      <w:tr w:rsidR="00DD3C1E" w:rsidRPr="00DD3C1E" w14:paraId="4D764483" w14:textId="77777777" w:rsidTr="008B157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60550E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Apoio técnico</w:t>
            </w:r>
          </w:p>
        </w:tc>
        <w:tc>
          <w:tcPr>
            <w:tcW w:w="0" w:type="auto"/>
            <w:vAlign w:val="center"/>
            <w:hideMark/>
          </w:tcPr>
          <w:p w14:paraId="01ABE1F1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Nº de atendimentos realizados</w:t>
            </w:r>
          </w:p>
        </w:tc>
        <w:tc>
          <w:tcPr>
            <w:tcW w:w="0" w:type="auto"/>
            <w:vAlign w:val="center"/>
            <w:hideMark/>
          </w:tcPr>
          <w:p w14:paraId="3A078496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Fichas de atendimento</w:t>
            </w:r>
          </w:p>
        </w:tc>
      </w:tr>
      <w:tr w:rsidR="00DD3C1E" w:rsidRPr="00DD3C1E" w14:paraId="4498D586" w14:textId="77777777" w:rsidTr="008B157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D2F3426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lastRenderedPageBreak/>
              <w:t>Formação</w:t>
            </w:r>
          </w:p>
        </w:tc>
        <w:tc>
          <w:tcPr>
            <w:tcW w:w="0" w:type="auto"/>
            <w:vAlign w:val="center"/>
            <w:hideMark/>
          </w:tcPr>
          <w:p w14:paraId="26F0787D" w14:textId="77777777" w:rsidR="00DD3C1E" w:rsidRPr="00DD3C1E" w:rsidRDefault="00DD3C1E" w:rsidP="00DD3C1E">
            <w:r w:rsidRPr="00DD3C1E">
              <w:t>Nº de oficinas e participantes</w:t>
            </w:r>
          </w:p>
        </w:tc>
        <w:tc>
          <w:tcPr>
            <w:tcW w:w="0" w:type="auto"/>
            <w:vAlign w:val="center"/>
            <w:hideMark/>
          </w:tcPr>
          <w:p w14:paraId="724B0F5A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Listas de presença</w:t>
            </w:r>
          </w:p>
        </w:tc>
      </w:tr>
      <w:tr w:rsidR="00DD3C1E" w:rsidRPr="00DD3C1E" w14:paraId="0F99E1DE" w14:textId="77777777" w:rsidTr="008B157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64449D3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Materiais</w:t>
            </w:r>
          </w:p>
        </w:tc>
        <w:tc>
          <w:tcPr>
            <w:tcW w:w="0" w:type="auto"/>
            <w:vAlign w:val="center"/>
            <w:hideMark/>
          </w:tcPr>
          <w:p w14:paraId="74D0FCD0" w14:textId="77777777" w:rsidR="00DD3C1E" w:rsidRPr="00DD3C1E" w:rsidRDefault="00DD3C1E" w:rsidP="00DD3C1E">
            <w:r w:rsidRPr="00DD3C1E">
              <w:t>Nº de cartilhas, vídeos e modelos</w:t>
            </w:r>
          </w:p>
        </w:tc>
        <w:tc>
          <w:tcPr>
            <w:tcW w:w="0" w:type="auto"/>
            <w:vAlign w:val="center"/>
            <w:hideMark/>
          </w:tcPr>
          <w:p w14:paraId="107FBD9D" w14:textId="77777777" w:rsidR="00DD3C1E" w:rsidRPr="00DD3C1E" w:rsidRDefault="00DD3C1E" w:rsidP="00DD3C1E">
            <w:pPr>
              <w:rPr>
                <w:lang w:val="en-US"/>
              </w:rPr>
            </w:pPr>
            <w:r w:rsidRPr="00DD3C1E">
              <w:rPr>
                <w:lang w:val="en-US"/>
              </w:rPr>
              <w:t>Plataforma digital</w:t>
            </w:r>
          </w:p>
        </w:tc>
      </w:tr>
    </w:tbl>
    <w:p w14:paraId="1D7AAD1C" w14:textId="007F96CF" w:rsidR="00DD3C1E" w:rsidRPr="00DD3C1E" w:rsidRDefault="00DD3C1E" w:rsidP="00DD3C1E">
      <w:pPr>
        <w:rPr>
          <w:lang w:val="en-US"/>
        </w:rPr>
      </w:pPr>
    </w:p>
    <w:p w14:paraId="064FCC23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6. CRONOGRAMA FÍSICO-FINANCEIRO</w:t>
      </w:r>
    </w:p>
    <w:p w14:paraId="3E5720B3" w14:textId="77777777" w:rsidR="00DD3C1E" w:rsidRPr="00DD3C1E" w:rsidRDefault="00DD3C1E" w:rsidP="00DD3C1E">
      <w:r w:rsidRPr="00DD3C1E">
        <w:t>Organizado conforme os três eixos do Balcão:</w:t>
      </w:r>
    </w:p>
    <w:p w14:paraId="2F8E3F88" w14:textId="77777777" w:rsidR="00DD3C1E" w:rsidRPr="00DD3C1E" w:rsidRDefault="00DD3C1E" w:rsidP="00DD3C1E">
      <w:pPr>
        <w:numPr>
          <w:ilvl w:val="0"/>
          <w:numId w:val="34"/>
        </w:numPr>
        <w:rPr>
          <w:lang w:val="en-US"/>
        </w:rPr>
      </w:pPr>
      <w:r w:rsidRPr="00DD3C1E">
        <w:rPr>
          <w:lang w:val="en-US"/>
        </w:rPr>
        <w:t>Meses 1–3: Diagnóstico</w:t>
      </w:r>
    </w:p>
    <w:p w14:paraId="7F280956" w14:textId="77777777" w:rsidR="00DD3C1E" w:rsidRPr="00DD3C1E" w:rsidRDefault="00DD3C1E" w:rsidP="00DD3C1E">
      <w:pPr>
        <w:numPr>
          <w:ilvl w:val="0"/>
          <w:numId w:val="34"/>
        </w:numPr>
        <w:rPr>
          <w:lang w:val="en-US"/>
        </w:rPr>
      </w:pPr>
      <w:r w:rsidRPr="00DD3C1E">
        <w:rPr>
          <w:lang w:val="en-US"/>
        </w:rPr>
        <w:t>Meses 4–12: Apoio e formação</w:t>
      </w:r>
    </w:p>
    <w:p w14:paraId="3DFB2CA4" w14:textId="77777777" w:rsidR="00DD3C1E" w:rsidRPr="00DD3C1E" w:rsidRDefault="00DD3C1E" w:rsidP="00DD3C1E">
      <w:pPr>
        <w:numPr>
          <w:ilvl w:val="0"/>
          <w:numId w:val="34"/>
        </w:numPr>
      </w:pPr>
      <w:r w:rsidRPr="00DD3C1E">
        <w:t>Transversal: produção de materiais, monitoramento e atendimento contínuo</w:t>
      </w:r>
    </w:p>
    <w:p w14:paraId="67EC67EB" w14:textId="39C93780" w:rsidR="00DD3C1E" w:rsidRPr="00DD3C1E" w:rsidRDefault="00DD3C1E" w:rsidP="00DD3C1E">
      <w:pPr>
        <w:rPr>
          <w:lang w:val="en-US"/>
        </w:rPr>
      </w:pPr>
    </w:p>
    <w:p w14:paraId="735B8220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7. CRONOGRAMA DE ATIVIDADES</w:t>
      </w:r>
    </w:p>
    <w:p w14:paraId="189C0B13" w14:textId="77777777" w:rsidR="00DD3C1E" w:rsidRPr="00DD3C1E" w:rsidRDefault="00DD3C1E" w:rsidP="00DD3C1E">
      <w:r w:rsidRPr="00DD3C1E">
        <w:t>Atividades distribuídas em:</w:t>
      </w:r>
    </w:p>
    <w:p w14:paraId="35619EB6" w14:textId="77777777" w:rsidR="00DD3C1E" w:rsidRPr="00DD3C1E" w:rsidRDefault="00DD3C1E" w:rsidP="00DD3C1E">
      <w:pPr>
        <w:numPr>
          <w:ilvl w:val="0"/>
          <w:numId w:val="35"/>
        </w:numPr>
      </w:pPr>
      <w:r w:rsidRPr="00DD3C1E">
        <w:t>Diagnóstico → Atendimento → Formação → Produção → Monitoramento</w:t>
      </w:r>
      <w:r w:rsidRPr="00DD3C1E">
        <w:br/>
        <w:t xml:space="preserve">conforme modelo apresentado no PPT do IFAL </w:t>
      </w:r>
    </w:p>
    <w:p w14:paraId="56C70CF6" w14:textId="77777777" w:rsidR="00DD3C1E" w:rsidRPr="00DD3C1E" w:rsidRDefault="00DD3C1E" w:rsidP="00DD3C1E">
      <w:pPr>
        <w:rPr>
          <w:b/>
          <w:bCs/>
        </w:rPr>
      </w:pPr>
      <w:r w:rsidRPr="00DD3C1E">
        <w:rPr>
          <w:b/>
          <w:bCs/>
        </w:rPr>
        <w:t>Síntese estratégica</w:t>
      </w:r>
    </w:p>
    <w:p w14:paraId="2D49118F" w14:textId="77777777" w:rsidR="00DD3C1E" w:rsidRPr="00DD3C1E" w:rsidRDefault="00DD3C1E" w:rsidP="00DD3C1E">
      <w:r w:rsidRPr="00DD3C1E">
        <w:t xml:space="preserve">O </w:t>
      </w:r>
      <w:r w:rsidRPr="00DD3C1E">
        <w:rPr>
          <w:b/>
          <w:bCs/>
        </w:rPr>
        <w:t xml:space="preserve">Balcão </w:t>
      </w:r>
      <w:proofErr w:type="spellStart"/>
      <w:r w:rsidRPr="00DD3C1E">
        <w:rPr>
          <w:b/>
          <w:bCs/>
        </w:rPr>
        <w:t>IFnegócios</w:t>
      </w:r>
      <w:proofErr w:type="spellEnd"/>
      <w:r w:rsidRPr="00DD3C1E">
        <w:rPr>
          <w:b/>
          <w:bCs/>
        </w:rPr>
        <w:t xml:space="preserve"> Social – Laguna Mundaú</w:t>
      </w:r>
      <w:r w:rsidRPr="00DD3C1E">
        <w:t xml:space="preserve"> transforma o IFAL em um </w:t>
      </w:r>
      <w:r w:rsidRPr="00DD3C1E">
        <w:rPr>
          <w:b/>
          <w:bCs/>
        </w:rPr>
        <w:t>hub público de reconstrução institucional</w:t>
      </w:r>
      <w:r w:rsidRPr="00DD3C1E">
        <w:t>, capaz de converter vulnerabilidade em capacidade organizacional, e memória ferida em potência de futuro. Ele não cria dependência: cria autonomia. Não substitui o Estado: fortalece sua relação com a sociedade civil organizada.</w:t>
      </w:r>
    </w:p>
    <w:p w14:paraId="22110BC9" w14:textId="77777777" w:rsidR="00E5046B" w:rsidRDefault="007748A5" w:rsidP="00E5046B">
      <w:r w:rsidRPr="00BF366F">
        <w:t xml:space="preserve">Área(s): </w:t>
      </w:r>
      <w:r w:rsidR="00E5046B" w:rsidRPr="00E5046B">
        <w:t>Saúde Psicossocial; Educação Popular; Formação de Lideranças; Cidadania Digital; Planejamento de Vida.</w:t>
      </w:r>
      <w:r w:rsidR="00E5046B">
        <w:t xml:space="preserve"> </w:t>
      </w:r>
    </w:p>
    <w:p w14:paraId="6262495D" w14:textId="50ECA8B5" w:rsidR="00E5046B" w:rsidRPr="00E5046B" w:rsidRDefault="007748A5" w:rsidP="00E5046B">
      <w:r w:rsidRPr="00BF366F">
        <w:t xml:space="preserve">Exemplo de OSCs indicadas: </w:t>
      </w:r>
      <w:r w:rsidR="00E5046B" w:rsidRPr="00E5046B">
        <w:t>Instituto Amigos da Periferia, CODEBENTES, Instituto Novo Horizonte, Associação Beneficente Santa Lúcia.</w:t>
      </w:r>
    </w:p>
    <w:p w14:paraId="22FDF612" w14:textId="2F5A9FB3" w:rsidR="00605B4F" w:rsidRPr="00BF366F" w:rsidRDefault="007748A5" w:rsidP="00605B4F">
      <w:r w:rsidRPr="00BF366F">
        <w:t>Descrição:</w:t>
      </w:r>
      <w:r w:rsidR="00E5046B">
        <w:t xml:space="preserve"> </w:t>
      </w:r>
      <w:r w:rsidR="00E5046B" w:rsidRPr="00E5046B">
        <w:t>As Trilhas de Reconexão de Vida visam reconstruir horizontes de futuro e restaurar a autonomia de pessoas atingidas, por meio de processos formativos integrados que combinam escuta qualificada, planejamento de vida, alfabetização digital e reconhecimento de competências. Cada trilha é composta por 8 a 12 encontros semanais, culminando na produção de um portfólio de vida e apresentação pública na Mostra das Trilhas.</w:t>
      </w:r>
      <w:r w:rsidRPr="00BF366F">
        <w:br/>
      </w:r>
      <w:r w:rsidR="00605B4F" w:rsidRPr="00BF366F">
        <w:br w:type="page"/>
      </w:r>
    </w:p>
    <w:p w14:paraId="6E39DB43" w14:textId="6F3A6087" w:rsidR="00AF486F" w:rsidRPr="00BF366F" w:rsidRDefault="00AF486F" w:rsidP="009C1EC1">
      <w:pPr>
        <w:jc w:val="both"/>
      </w:pPr>
      <w:r w:rsidRPr="00BF366F">
        <w:lastRenderedPageBreak/>
        <w:t>Este projeto atende ao Objetivo 3 do Projeto 3 – Desenvolvimento Institucional de Organizações da Sociedade Civil referente ao edital Nosso Chão, Nossa Terra MCZ|24035|2024001:</w:t>
      </w:r>
    </w:p>
    <w:p w14:paraId="7130222F" w14:textId="592BD02B" w:rsidR="00AF486F" w:rsidRPr="00BF366F" w:rsidRDefault="00AF486F" w:rsidP="009C1EC1">
      <w:pPr>
        <w:jc w:val="both"/>
      </w:pPr>
      <w:r w:rsidRPr="00BF366F">
        <w:t>Objetivo 3: Promover a sustentabilidade das OSCs, incentivando práticas de captação de recursos, desenvolvimento de parcerias e inovação social</w:t>
      </w:r>
    </w:p>
    <w:p w14:paraId="016C4576" w14:textId="77777777" w:rsidR="00AF486F" w:rsidRPr="00BF366F" w:rsidRDefault="00AF486F" w:rsidP="009C1EC1">
      <w:pPr>
        <w:jc w:val="both"/>
      </w:pPr>
    </w:p>
    <w:p w14:paraId="6A79792C" w14:textId="3C9D810B" w:rsidR="00805CEE" w:rsidRPr="00BF366F" w:rsidRDefault="00805CEE" w:rsidP="009C1EC1">
      <w:pPr>
        <w:jc w:val="both"/>
      </w:pPr>
      <w:r w:rsidRPr="00BF366F">
        <w:t>O modelo de projeto aqui proposto é baseado na Lei Nº 13.019 de 31 de julho de 2014.</w:t>
      </w:r>
    </w:p>
    <w:p w14:paraId="568A0339" w14:textId="561FC2E8" w:rsidR="00640D6C" w:rsidRPr="00BF366F" w:rsidRDefault="00805CEE" w:rsidP="00F703BE">
      <w:pPr>
        <w:jc w:val="both"/>
      </w:pPr>
      <w:r w:rsidRPr="00BF366F">
        <w:t xml:space="preserve">Seção VII, Art. 22, incisos I, II, IIA, III, IV, </w:t>
      </w:r>
    </w:p>
    <w:sectPr w:rsidR="00640D6C" w:rsidRPr="00BF366F">
      <w:headerReference w:type="default" r:id="rId8"/>
      <w:footerReference w:type="default" r:id="rId9"/>
      <w:pgSz w:w="11906" w:h="16838"/>
      <w:pgMar w:top="2410" w:right="1701" w:bottom="1417" w:left="1701" w:header="45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1929" w14:textId="77777777" w:rsidR="009D1A64" w:rsidRDefault="009D1A64">
      <w:pPr>
        <w:spacing w:after="0" w:line="240" w:lineRule="auto"/>
      </w:pPr>
      <w:r>
        <w:separator/>
      </w:r>
    </w:p>
  </w:endnote>
  <w:endnote w:type="continuationSeparator" w:id="0">
    <w:p w14:paraId="6EE069CF" w14:textId="77777777" w:rsidR="009D1A64" w:rsidRDefault="009D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217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B11D5" w14:textId="6D986439" w:rsidR="001A648B" w:rsidRDefault="001A648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1199D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>REDE BRASILEIRA DE CERTIFICAÇÃO, PESQUISA E INOVAÇÃO</w:t>
    </w:r>
  </w:p>
  <w:p w14:paraId="650066E3" w14:textId="77777777" w:rsidR="007A7C14" w:rsidRDefault="007A7C14" w:rsidP="007A7C14">
    <w:pPr>
      <w:pStyle w:val="Rodap"/>
      <w:jc w:val="center"/>
      <w:rPr>
        <w:rFonts w:ascii="Arial" w:hAnsi="Arial"/>
        <w:i/>
        <w:sz w:val="14"/>
      </w:rPr>
    </w:pPr>
    <w:r w:rsidRPr="00BF6470">
      <w:rPr>
        <w:rFonts w:ascii="Arial" w:hAnsi="Arial"/>
        <w:i/>
        <w:sz w:val="14"/>
      </w:rPr>
      <w:t xml:space="preserve">SBN </w:t>
    </w:r>
    <w:proofErr w:type="spellStart"/>
    <w:r w:rsidRPr="00BF6470">
      <w:rPr>
        <w:rFonts w:ascii="Arial" w:hAnsi="Arial"/>
        <w:i/>
        <w:sz w:val="14"/>
      </w:rPr>
      <w:t>Qd</w:t>
    </w:r>
    <w:proofErr w:type="spellEnd"/>
    <w:r w:rsidRPr="00BF6470">
      <w:rPr>
        <w:rFonts w:ascii="Arial" w:hAnsi="Arial"/>
        <w:i/>
        <w:sz w:val="14"/>
      </w:rPr>
      <w:t xml:space="preserve">. 2 </w:t>
    </w:r>
    <w:proofErr w:type="spellStart"/>
    <w:r w:rsidRPr="00BF6470">
      <w:rPr>
        <w:rFonts w:ascii="Arial" w:hAnsi="Arial"/>
        <w:i/>
        <w:sz w:val="14"/>
      </w:rPr>
      <w:t>Bl</w:t>
    </w:r>
    <w:proofErr w:type="spellEnd"/>
    <w:r w:rsidRPr="00BF6470">
      <w:rPr>
        <w:rFonts w:ascii="Arial" w:hAnsi="Arial"/>
        <w:i/>
        <w:sz w:val="14"/>
      </w:rPr>
      <w:t xml:space="preserve">. F, </w:t>
    </w:r>
    <w:proofErr w:type="spellStart"/>
    <w:r w:rsidRPr="00BF6470">
      <w:rPr>
        <w:rFonts w:ascii="Arial" w:hAnsi="Arial"/>
        <w:i/>
        <w:sz w:val="14"/>
      </w:rPr>
      <w:t>Lt</w:t>
    </w:r>
    <w:proofErr w:type="spellEnd"/>
    <w:r w:rsidRPr="00BF6470">
      <w:rPr>
        <w:rFonts w:ascii="Arial" w:hAnsi="Arial"/>
        <w:i/>
        <w:sz w:val="14"/>
      </w:rPr>
      <w:t xml:space="preserve">. 12, </w:t>
    </w:r>
    <w:r>
      <w:rPr>
        <w:rFonts w:ascii="Arial" w:hAnsi="Arial"/>
        <w:i/>
        <w:sz w:val="14"/>
      </w:rPr>
      <w:t xml:space="preserve">Sala 604 - </w:t>
    </w:r>
    <w:r w:rsidRPr="00BF6470">
      <w:rPr>
        <w:rFonts w:ascii="Arial" w:hAnsi="Arial"/>
        <w:i/>
        <w:sz w:val="14"/>
      </w:rPr>
      <w:t>Brasília, DF 70040-911</w:t>
    </w:r>
    <w:r>
      <w:rPr>
        <w:rFonts w:ascii="Arial" w:hAnsi="Arial"/>
        <w:i/>
        <w:sz w:val="14"/>
      </w:rPr>
      <w:t xml:space="preserve"> – Ed. Via Capital</w:t>
    </w:r>
  </w:p>
  <w:p w14:paraId="5B77FDE9" w14:textId="77777777" w:rsidR="007A7C14" w:rsidRDefault="007A7C14" w:rsidP="007A7C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rFonts w:ascii="Arial" w:eastAsia="Arial" w:hAnsi="Arial" w:cs="Arial"/>
        <w:i/>
        <w:color w:val="000000"/>
        <w:sz w:val="14"/>
        <w:szCs w:val="14"/>
      </w:rPr>
    </w:pPr>
    <w:r>
      <w:rPr>
        <w:rFonts w:ascii="Arial" w:eastAsia="Arial" w:hAnsi="Arial" w:cs="Arial"/>
        <w:i/>
        <w:color w:val="000000"/>
        <w:sz w:val="14"/>
        <w:szCs w:val="14"/>
      </w:rPr>
      <w:t xml:space="preserve">e-mail: contato@rbcip.org </w:t>
    </w:r>
    <w:r>
      <w:rPr>
        <w:rFonts w:ascii="Noto Sans Symbols" w:eastAsia="Noto Sans Symbols" w:hAnsi="Noto Sans Symbols" w:cs="Noto Sans Symbols"/>
        <w:i/>
        <w:color w:val="000000"/>
        <w:sz w:val="14"/>
        <w:szCs w:val="14"/>
      </w:rPr>
      <w:t>∙</w:t>
    </w:r>
    <w:r>
      <w:rPr>
        <w:rFonts w:ascii="Arial" w:eastAsia="Arial" w:hAnsi="Arial" w:cs="Arial"/>
        <w:i/>
        <w:color w:val="000000"/>
        <w:sz w:val="14"/>
        <w:szCs w:val="14"/>
      </w:rPr>
      <w:t xml:space="preserve"> www.rbcip.org</w:t>
    </w:r>
  </w:p>
  <w:p w14:paraId="2763E452" w14:textId="1B20F671" w:rsidR="009F370A" w:rsidRPr="001A648B" w:rsidRDefault="009F370A" w:rsidP="001A64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1A621" w14:textId="77777777" w:rsidR="009D1A64" w:rsidRDefault="009D1A64">
      <w:pPr>
        <w:spacing w:after="0" w:line="240" w:lineRule="auto"/>
      </w:pPr>
      <w:r>
        <w:separator/>
      </w:r>
    </w:p>
  </w:footnote>
  <w:footnote w:type="continuationSeparator" w:id="0">
    <w:p w14:paraId="5B24569F" w14:textId="77777777" w:rsidR="009D1A64" w:rsidRDefault="009D1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ACA57" w14:textId="07C730B3" w:rsidR="009F370A" w:rsidRDefault="00736A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8558098" wp14:editId="77C4C716">
          <wp:simplePos x="0" y="0"/>
          <wp:positionH relativeFrom="column">
            <wp:posOffset>3717471</wp:posOffset>
          </wp:positionH>
          <wp:positionV relativeFrom="paragraph">
            <wp:posOffset>-60506</wp:posOffset>
          </wp:positionV>
          <wp:extent cx="1847850" cy="855345"/>
          <wp:effectExtent l="0" t="0" r="0" b="0"/>
          <wp:wrapNone/>
          <wp:docPr id="9129635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635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2B22">
      <w:rPr>
        <w:noProof/>
        <w:color w:val="000000"/>
      </w:rPr>
      <w:drawing>
        <wp:inline distT="0" distB="0" distL="0" distR="0" wp14:anchorId="44C33DB7" wp14:editId="7E0A9A98">
          <wp:extent cx="2045907" cy="740992"/>
          <wp:effectExtent l="0" t="0" r="0" b="0"/>
          <wp:docPr id="20" name="image1.png" descr="Uma imagem contendo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ogotipo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5907" cy="740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BE5"/>
    <w:multiLevelType w:val="multilevel"/>
    <w:tmpl w:val="ADDC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1207B"/>
    <w:multiLevelType w:val="multilevel"/>
    <w:tmpl w:val="94AA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83A28"/>
    <w:multiLevelType w:val="hybridMultilevel"/>
    <w:tmpl w:val="13C842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335B9"/>
    <w:multiLevelType w:val="hybridMultilevel"/>
    <w:tmpl w:val="64E62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F7786"/>
    <w:multiLevelType w:val="multilevel"/>
    <w:tmpl w:val="2A54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944E42"/>
    <w:multiLevelType w:val="multilevel"/>
    <w:tmpl w:val="023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C386F"/>
    <w:multiLevelType w:val="multilevel"/>
    <w:tmpl w:val="5BB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F6C82"/>
    <w:multiLevelType w:val="multilevel"/>
    <w:tmpl w:val="1AA2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B25D9"/>
    <w:multiLevelType w:val="multilevel"/>
    <w:tmpl w:val="794C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57B10"/>
    <w:multiLevelType w:val="multilevel"/>
    <w:tmpl w:val="BBA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767D5C"/>
    <w:multiLevelType w:val="hybridMultilevel"/>
    <w:tmpl w:val="DE8674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58E6"/>
    <w:multiLevelType w:val="multilevel"/>
    <w:tmpl w:val="8F8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68A"/>
    <w:multiLevelType w:val="multilevel"/>
    <w:tmpl w:val="243E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23347D"/>
    <w:multiLevelType w:val="multilevel"/>
    <w:tmpl w:val="CBE0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22005"/>
    <w:multiLevelType w:val="multilevel"/>
    <w:tmpl w:val="2AEAD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43E67"/>
    <w:multiLevelType w:val="multilevel"/>
    <w:tmpl w:val="5BE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A6357D"/>
    <w:multiLevelType w:val="multilevel"/>
    <w:tmpl w:val="5C768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B6EC1"/>
    <w:multiLevelType w:val="multilevel"/>
    <w:tmpl w:val="740A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5229B2"/>
    <w:multiLevelType w:val="multilevel"/>
    <w:tmpl w:val="7B60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D72F7"/>
    <w:multiLevelType w:val="multilevel"/>
    <w:tmpl w:val="6522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94E40"/>
    <w:multiLevelType w:val="multilevel"/>
    <w:tmpl w:val="572E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C50D5A"/>
    <w:multiLevelType w:val="hybridMultilevel"/>
    <w:tmpl w:val="5B42838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CD0417"/>
    <w:multiLevelType w:val="multilevel"/>
    <w:tmpl w:val="1C4C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376CA7"/>
    <w:multiLevelType w:val="multilevel"/>
    <w:tmpl w:val="FD18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8A39B7"/>
    <w:multiLevelType w:val="hybridMultilevel"/>
    <w:tmpl w:val="5EEE4534"/>
    <w:lvl w:ilvl="0" w:tplc="22300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25CFB"/>
    <w:multiLevelType w:val="multilevel"/>
    <w:tmpl w:val="C920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AB48A9"/>
    <w:multiLevelType w:val="multilevel"/>
    <w:tmpl w:val="98580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520C6"/>
    <w:multiLevelType w:val="hybridMultilevel"/>
    <w:tmpl w:val="019AAD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74875"/>
    <w:multiLevelType w:val="multilevel"/>
    <w:tmpl w:val="E6C2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A411A4"/>
    <w:multiLevelType w:val="multilevel"/>
    <w:tmpl w:val="CE32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23115F"/>
    <w:multiLevelType w:val="multilevel"/>
    <w:tmpl w:val="4134C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6B5701"/>
    <w:multiLevelType w:val="multilevel"/>
    <w:tmpl w:val="1DD87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E755BC"/>
    <w:multiLevelType w:val="multilevel"/>
    <w:tmpl w:val="AE84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E1EC1"/>
    <w:multiLevelType w:val="multilevel"/>
    <w:tmpl w:val="FC1C6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390BAF"/>
    <w:multiLevelType w:val="multilevel"/>
    <w:tmpl w:val="B2AE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980176">
    <w:abstractNumId w:val="10"/>
  </w:num>
  <w:num w:numId="2" w16cid:durableId="772212828">
    <w:abstractNumId w:val="27"/>
  </w:num>
  <w:num w:numId="3" w16cid:durableId="830406795">
    <w:abstractNumId w:val="24"/>
  </w:num>
  <w:num w:numId="4" w16cid:durableId="1576549743">
    <w:abstractNumId w:val="3"/>
  </w:num>
  <w:num w:numId="5" w16cid:durableId="1446774622">
    <w:abstractNumId w:val="21"/>
  </w:num>
  <w:num w:numId="6" w16cid:durableId="1597207880">
    <w:abstractNumId w:val="2"/>
  </w:num>
  <w:num w:numId="7" w16cid:durableId="492378926">
    <w:abstractNumId w:val="18"/>
  </w:num>
  <w:num w:numId="8" w16cid:durableId="552667242">
    <w:abstractNumId w:val="31"/>
  </w:num>
  <w:num w:numId="9" w16cid:durableId="1342273795">
    <w:abstractNumId w:val="28"/>
  </w:num>
  <w:num w:numId="10" w16cid:durableId="48573768">
    <w:abstractNumId w:val="11"/>
  </w:num>
  <w:num w:numId="11" w16cid:durableId="81339750">
    <w:abstractNumId w:val="23"/>
  </w:num>
  <w:num w:numId="12" w16cid:durableId="711274582">
    <w:abstractNumId w:val="33"/>
  </w:num>
  <w:num w:numId="13" w16cid:durableId="1772386530">
    <w:abstractNumId w:val="4"/>
  </w:num>
  <w:num w:numId="14" w16cid:durableId="1515345725">
    <w:abstractNumId w:val="29"/>
  </w:num>
  <w:num w:numId="15" w16cid:durableId="1132361237">
    <w:abstractNumId w:val="8"/>
  </w:num>
  <w:num w:numId="16" w16cid:durableId="590506054">
    <w:abstractNumId w:val="26"/>
  </w:num>
  <w:num w:numId="17" w16cid:durableId="645359610">
    <w:abstractNumId w:val="22"/>
  </w:num>
  <w:num w:numId="18" w16cid:durableId="1514875539">
    <w:abstractNumId w:val="15"/>
  </w:num>
  <w:num w:numId="19" w16cid:durableId="1342004309">
    <w:abstractNumId w:val="34"/>
  </w:num>
  <w:num w:numId="20" w16cid:durableId="746078812">
    <w:abstractNumId w:val="7"/>
  </w:num>
  <w:num w:numId="21" w16cid:durableId="381367940">
    <w:abstractNumId w:val="6"/>
  </w:num>
  <w:num w:numId="22" w16cid:durableId="1458600326">
    <w:abstractNumId w:val="13"/>
  </w:num>
  <w:num w:numId="23" w16cid:durableId="467356201">
    <w:abstractNumId w:val="12"/>
  </w:num>
  <w:num w:numId="24" w16cid:durableId="1097216144">
    <w:abstractNumId w:val="19"/>
  </w:num>
  <w:num w:numId="25" w16cid:durableId="1312834866">
    <w:abstractNumId w:val="16"/>
  </w:num>
  <w:num w:numId="26" w16cid:durableId="2032947558">
    <w:abstractNumId w:val="9"/>
  </w:num>
  <w:num w:numId="27" w16cid:durableId="1167480016">
    <w:abstractNumId w:val="5"/>
  </w:num>
  <w:num w:numId="28" w16cid:durableId="1920169513">
    <w:abstractNumId w:val="0"/>
  </w:num>
  <w:num w:numId="29" w16cid:durableId="1974825262">
    <w:abstractNumId w:val="32"/>
  </w:num>
  <w:num w:numId="30" w16cid:durableId="746996894">
    <w:abstractNumId w:val="20"/>
  </w:num>
  <w:num w:numId="31" w16cid:durableId="1654019951">
    <w:abstractNumId w:val="14"/>
  </w:num>
  <w:num w:numId="32" w16cid:durableId="1573392006">
    <w:abstractNumId w:val="1"/>
  </w:num>
  <w:num w:numId="33" w16cid:durableId="144393934">
    <w:abstractNumId w:val="30"/>
  </w:num>
  <w:num w:numId="34" w16cid:durableId="395125824">
    <w:abstractNumId w:val="17"/>
  </w:num>
  <w:num w:numId="35" w16cid:durableId="20033883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0A"/>
    <w:rsid w:val="0004681C"/>
    <w:rsid w:val="000740A9"/>
    <w:rsid w:val="000845BE"/>
    <w:rsid w:val="00085D43"/>
    <w:rsid w:val="00092D24"/>
    <w:rsid w:val="000B3176"/>
    <w:rsid w:val="000B6113"/>
    <w:rsid w:val="000F7939"/>
    <w:rsid w:val="0010475E"/>
    <w:rsid w:val="001109A9"/>
    <w:rsid w:val="00127C14"/>
    <w:rsid w:val="00142988"/>
    <w:rsid w:val="00151760"/>
    <w:rsid w:val="00161F3D"/>
    <w:rsid w:val="001819ED"/>
    <w:rsid w:val="001A648B"/>
    <w:rsid w:val="001C22DE"/>
    <w:rsid w:val="001D1F0F"/>
    <w:rsid w:val="00201901"/>
    <w:rsid w:val="00221E0D"/>
    <w:rsid w:val="00284873"/>
    <w:rsid w:val="002870E1"/>
    <w:rsid w:val="002A1DA5"/>
    <w:rsid w:val="002E413E"/>
    <w:rsid w:val="003214B0"/>
    <w:rsid w:val="0033115C"/>
    <w:rsid w:val="00331388"/>
    <w:rsid w:val="003A3C57"/>
    <w:rsid w:val="003E4B34"/>
    <w:rsid w:val="00440F4A"/>
    <w:rsid w:val="00470FCA"/>
    <w:rsid w:val="00497E07"/>
    <w:rsid w:val="00540A06"/>
    <w:rsid w:val="00542FB3"/>
    <w:rsid w:val="00576A46"/>
    <w:rsid w:val="005A187A"/>
    <w:rsid w:val="005B2E5F"/>
    <w:rsid w:val="005E5A85"/>
    <w:rsid w:val="005F62D9"/>
    <w:rsid w:val="00605B4F"/>
    <w:rsid w:val="00640D6C"/>
    <w:rsid w:val="00654AAE"/>
    <w:rsid w:val="00696BF7"/>
    <w:rsid w:val="006B15BA"/>
    <w:rsid w:val="006C2E26"/>
    <w:rsid w:val="00704069"/>
    <w:rsid w:val="00707032"/>
    <w:rsid w:val="00736A7D"/>
    <w:rsid w:val="007748A5"/>
    <w:rsid w:val="007A7754"/>
    <w:rsid w:val="007A7C14"/>
    <w:rsid w:val="007C5B92"/>
    <w:rsid w:val="007F2B22"/>
    <w:rsid w:val="007F7B47"/>
    <w:rsid w:val="00800EC0"/>
    <w:rsid w:val="00805CEE"/>
    <w:rsid w:val="0083735A"/>
    <w:rsid w:val="008410DD"/>
    <w:rsid w:val="008544F1"/>
    <w:rsid w:val="008A21A5"/>
    <w:rsid w:val="008B1576"/>
    <w:rsid w:val="008D34AF"/>
    <w:rsid w:val="008D7D6F"/>
    <w:rsid w:val="008E7EDC"/>
    <w:rsid w:val="0090783B"/>
    <w:rsid w:val="00925258"/>
    <w:rsid w:val="009340D1"/>
    <w:rsid w:val="0093676E"/>
    <w:rsid w:val="00937F3D"/>
    <w:rsid w:val="00942A89"/>
    <w:rsid w:val="0099776F"/>
    <w:rsid w:val="009B7F84"/>
    <w:rsid w:val="009C10EA"/>
    <w:rsid w:val="009C1EC1"/>
    <w:rsid w:val="009D1A64"/>
    <w:rsid w:val="009F370A"/>
    <w:rsid w:val="00A500AD"/>
    <w:rsid w:val="00A917C6"/>
    <w:rsid w:val="00A91D93"/>
    <w:rsid w:val="00AF486F"/>
    <w:rsid w:val="00B04EC9"/>
    <w:rsid w:val="00B25A34"/>
    <w:rsid w:val="00B8353F"/>
    <w:rsid w:val="00B90C75"/>
    <w:rsid w:val="00B92D71"/>
    <w:rsid w:val="00BC2E34"/>
    <w:rsid w:val="00BF366F"/>
    <w:rsid w:val="00C15B27"/>
    <w:rsid w:val="00C421C5"/>
    <w:rsid w:val="00C52D33"/>
    <w:rsid w:val="00C72F0F"/>
    <w:rsid w:val="00C90177"/>
    <w:rsid w:val="00CD5E17"/>
    <w:rsid w:val="00D518AE"/>
    <w:rsid w:val="00D74921"/>
    <w:rsid w:val="00D82182"/>
    <w:rsid w:val="00D902A9"/>
    <w:rsid w:val="00DD3C1E"/>
    <w:rsid w:val="00DD5A91"/>
    <w:rsid w:val="00DE275D"/>
    <w:rsid w:val="00E5046B"/>
    <w:rsid w:val="00E52921"/>
    <w:rsid w:val="00E63A21"/>
    <w:rsid w:val="00EE0DEE"/>
    <w:rsid w:val="00EF2F26"/>
    <w:rsid w:val="00F07FDC"/>
    <w:rsid w:val="00F27785"/>
    <w:rsid w:val="00F33A62"/>
    <w:rsid w:val="00F42163"/>
    <w:rsid w:val="00F5083A"/>
    <w:rsid w:val="00F561E7"/>
    <w:rsid w:val="00F6276D"/>
    <w:rsid w:val="00F7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CDA23"/>
  <w15:docId w15:val="{551A0857-BDA0-42D8-B81B-A1171947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1CC3"/>
  </w:style>
  <w:style w:type="paragraph" w:styleId="Rodap">
    <w:name w:val="footer"/>
    <w:basedOn w:val="Normal"/>
    <w:link w:val="RodapChar"/>
    <w:unhideWhenUsed/>
    <w:rsid w:val="006D1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D1CC3"/>
  </w:style>
  <w:style w:type="character" w:styleId="Hyperlink">
    <w:name w:val="Hyperlink"/>
    <w:basedOn w:val="Fontepargpadro"/>
    <w:rsid w:val="00B4222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F13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35FB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62F87"/>
    <w:pPr>
      <w:spacing w:after="0" w:line="240" w:lineRule="auto"/>
    </w:pPr>
  </w:style>
  <w:style w:type="table" w:styleId="TabeladeGradeClara">
    <w:name w:val="Grid Table Light"/>
    <w:basedOn w:val="Tabelanormal"/>
    <w:uiPriority w:val="40"/>
    <w:rsid w:val="006374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7F7B47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enoPendente">
    <w:name w:val="Unresolved Mention"/>
    <w:basedOn w:val="Fontepargpadro"/>
    <w:uiPriority w:val="99"/>
    <w:semiHidden/>
    <w:unhideWhenUsed/>
    <w:rsid w:val="00540A06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BF366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3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0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2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7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2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3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0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4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GFqyVKP8IbUwWs55SGINXkhbQ==">CgMxLjA4AHIhMUk2Z3BYYTgzUzJnSGo3OXBOd3pXYzd6VG5Lc1oxNVdY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1030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Isabela Camargo</dc:creator>
  <cp:lastModifiedBy>Julieta Alida Garcia Verleun</cp:lastModifiedBy>
  <cp:revision>4</cp:revision>
  <cp:lastPrinted>2025-04-02T13:29:00Z</cp:lastPrinted>
  <dcterms:created xsi:type="dcterms:W3CDTF">2026-01-08T12:52:00Z</dcterms:created>
  <dcterms:modified xsi:type="dcterms:W3CDTF">2026-01-09T12:05:00Z</dcterms:modified>
</cp:coreProperties>
</file>